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2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附件：2026年高等教育(本科)国家教学成果奖申报拟推荐名单</w:t>
      </w:r>
    </w:p>
    <w:p w14:paraId="0E50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41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613"/>
        <w:gridCol w:w="5317"/>
        <w:gridCol w:w="2828"/>
        <w:gridCol w:w="2667"/>
      </w:tblGrid>
      <w:tr w14:paraId="0602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2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成果奖名称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完成单位</w:t>
            </w:r>
          </w:p>
        </w:tc>
      </w:tr>
      <w:tr w14:paraId="1803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知识重构范式重建场景重塑——新文科背景下数智化会计人才培养改革与实践</w:t>
            </w:r>
          </w:p>
        </w:tc>
        <w:tc>
          <w:tcPr>
            <w:tcW w:w="5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教育与数智技术融合是传统文科转型发展的重要方向，也是文科教育改革的时代使命。重庆理工大学联合上海财经大学、中国人民大学、山东财经大学联合建立数智化会计人才培养改革共同体，秉持“需求导向、能力为本、交叉融合”的教育理念，聚焦“知识体系、师资队伍、教学范式、育人场景”四大关键任务，探索形成“知识重构、范式重建、场景重塑”的数智化会计人才培养改革路径。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3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王波，阎建明，靳庆鲁，张敏，陈旭，程平，张志恒，吴花平，葛永波，曾庆生，唐松，李歆，黄金曦，夏会，马慧，史文雷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6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</w:tbl>
    <w:p w14:paraId="173A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D7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7809"/>
    <w:rsid w:val="1FDA0CFE"/>
    <w:rsid w:val="23F238BC"/>
    <w:rsid w:val="33B56C89"/>
    <w:rsid w:val="4BE25B8D"/>
    <w:rsid w:val="7002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671</Characters>
  <Lines>0</Lines>
  <Paragraphs>0</Paragraphs>
  <TotalTime>305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2026-07-01T01:19:00Z</dcterms:created>
  <dc:creator>panxue </dc:creator>
  <cp:lastModifiedBy>山中新竹</cp:lastModifiedBy>
  <dcterms:modified xsi:type="dcterms:W3CDTF">2026-07-02T10:02:15Z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3F0535F76DCF45C086B5E23054D1DBAB_13</vt:lpwstr>
  </property>
  <property fmtid="{D5CDD505-2E9C-101B-9397-08002B2CF9AE}" pid="4" name="KSOTemplateDocerSaveRecord">
    <vt:lpwstr>eyJoZGlkIjoiZTU1MjcxMjkxNzg3NDE0ZmUyMGZlYmVkMWJiYzRjMzIiLCJ1c2VySWQiOiI3MjgyMjA1MTQifQ==</vt:lpwstr>
  </property>
</Properties>
</file>